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4F9D4" w14:textId="37D0FFB3" w:rsidR="00505DB8" w:rsidRPr="00505DB8" w:rsidRDefault="00505DB8">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5DB8">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Addressing TIC – Exception </w:t>
      </w:r>
    </w:p>
    <w:tbl>
      <w:tblPr>
        <w:tblW w:w="10048" w:type="dxa"/>
        <w:tblCellMar>
          <w:left w:w="0" w:type="dxa"/>
          <w:right w:w="0" w:type="dxa"/>
        </w:tblCellMar>
        <w:tblLook w:val="04A0" w:firstRow="1" w:lastRow="0" w:firstColumn="1" w:lastColumn="0" w:noHBand="0" w:noVBand="1"/>
      </w:tblPr>
      <w:tblGrid>
        <w:gridCol w:w="10048"/>
      </w:tblGrid>
      <w:tr w:rsidR="002E6A68" w:rsidRPr="002E6A68" w14:paraId="0CE8CE44" w14:textId="77777777" w:rsidTr="00505DB8">
        <w:trPr>
          <w:trHeight w:val="41"/>
        </w:trPr>
        <w:tc>
          <w:tcPr>
            <w:tcW w:w="100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C926F8" w14:textId="77777777" w:rsidR="002E6A68" w:rsidRPr="002E6A68" w:rsidRDefault="002E6A68" w:rsidP="002E6A68">
            <w:pPr>
              <w:rPr>
                <w:sz w:val="20"/>
                <w:szCs w:val="20"/>
              </w:rPr>
            </w:pPr>
            <w:r w:rsidRPr="002E6A68">
              <w:rPr>
                <w:sz w:val="20"/>
                <w:szCs w:val="20"/>
              </w:rPr>
              <w:t>Correction</w:t>
            </w:r>
          </w:p>
        </w:tc>
      </w:tr>
      <w:tr w:rsidR="002E6A68" w:rsidRPr="002E6A68" w14:paraId="0C758FE3" w14:textId="77777777" w:rsidTr="00505DB8">
        <w:trPr>
          <w:trHeight w:val="41"/>
        </w:trPr>
        <w:tc>
          <w:tcPr>
            <w:tcW w:w="100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3DB5D5" w14:textId="77777777" w:rsidR="002E6A68" w:rsidRPr="002E6A68" w:rsidRDefault="002E6A68" w:rsidP="002E6A68">
            <w:pPr>
              <w:rPr>
                <w:sz w:val="20"/>
                <w:szCs w:val="20"/>
              </w:rPr>
            </w:pPr>
            <w:r w:rsidRPr="002E6A68">
              <w:rPr>
                <w:sz w:val="20"/>
                <w:szCs w:val="20"/>
              </w:rPr>
              <w:t>The URL Claims Payment Policies &amp; Other Information does not contain enough information on payments to be made during grace periods. Update the URL so that it contains an explanation that the issuer will pay all appropriate claims for services rendered to the enrollee during the first month of the grace period and may pend claims for services rendered to the enrollee in the second and third months of the grace period. Reference the QHP Instructions for example language.</w:t>
            </w:r>
          </w:p>
        </w:tc>
      </w:tr>
      <w:tr w:rsidR="002E6A68" w:rsidRPr="002E6A68" w14:paraId="2F75A2BD" w14:textId="77777777" w:rsidTr="00505DB8">
        <w:trPr>
          <w:trHeight w:val="41"/>
        </w:trPr>
        <w:tc>
          <w:tcPr>
            <w:tcW w:w="100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1DB356" w14:textId="77777777" w:rsidR="002E6A68" w:rsidRPr="00385259" w:rsidRDefault="002E6A68" w:rsidP="002E6A68">
            <w:pPr>
              <w:rPr>
                <w:sz w:val="20"/>
                <w:szCs w:val="20"/>
              </w:rPr>
            </w:pPr>
            <w:r w:rsidRPr="00385259">
              <w:rPr>
                <w:sz w:val="20"/>
                <w:szCs w:val="20"/>
              </w:rPr>
              <w:t>The URL for Claims Payment Policies &amp; Other Information does not provide the enrollee with instructions necessary to complete an internal, external, and expedited drug exception review application. Update the URL so that it contains instructions for the enrollee to complete this application, which includes a request form link, address, phone number, or fax number for the enrollee to contact. Reference the QHP Instructions for example language.</w:t>
            </w:r>
          </w:p>
        </w:tc>
      </w:tr>
      <w:tr w:rsidR="002E6A68" w:rsidRPr="002E6A68" w14:paraId="0F53F105" w14:textId="77777777" w:rsidTr="00505DB8">
        <w:trPr>
          <w:trHeight w:val="41"/>
        </w:trPr>
        <w:tc>
          <w:tcPr>
            <w:tcW w:w="100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F104DA" w14:textId="77777777" w:rsidR="002E6A68" w:rsidRPr="00385259" w:rsidRDefault="002E6A68" w:rsidP="002E6A68">
            <w:pPr>
              <w:rPr>
                <w:sz w:val="20"/>
                <w:szCs w:val="20"/>
              </w:rPr>
            </w:pPr>
            <w:r w:rsidRPr="00385259">
              <w:rPr>
                <w:sz w:val="20"/>
                <w:szCs w:val="20"/>
              </w:rPr>
              <w:t>The URL for Claims Payment Policies &amp; Other Information does not provide the enrollee with instructions necessary to complete an expedited drug exception review due to exigent circumstances. Update the URL so that it contains instructions for the enrollee to complete this application. Reference the QHP Instructions for example language.</w:t>
            </w:r>
          </w:p>
        </w:tc>
      </w:tr>
    </w:tbl>
    <w:p w14:paraId="1CD6397A" w14:textId="77777777" w:rsidR="009D7752" w:rsidRDefault="009D7752"/>
    <w:p w14:paraId="1B7689E4" w14:textId="77777777" w:rsidR="009D7752" w:rsidRPr="009D7752" w:rsidRDefault="009D7752" w:rsidP="009D7752">
      <w:r w:rsidRPr="009D7752">
        <w:rPr>
          <w:b/>
          <w:bCs/>
          <w:i/>
          <w:iCs/>
        </w:rPr>
        <w:t>Exceptions</w:t>
      </w:r>
      <w:r w:rsidRPr="009D7752">
        <w:t> </w:t>
      </w:r>
    </w:p>
    <w:p w14:paraId="62270F37" w14:textId="11ED68E4" w:rsidR="002A39DC" w:rsidRPr="004F5D4B" w:rsidRDefault="009D7752" w:rsidP="009D7752">
      <w:pPr>
        <w:rPr>
          <w:b/>
          <w:bCs/>
          <w:u w:val="single"/>
        </w:rPr>
      </w:pPr>
      <w:r w:rsidRPr="009D7752">
        <w:rPr>
          <w:b/>
          <w:bCs/>
          <w:u w:val="single"/>
        </w:rPr>
        <w:t>What is a prescription exception</w:t>
      </w:r>
      <w:r w:rsidR="004F5D4B" w:rsidRPr="004F5D4B">
        <w:rPr>
          <w:b/>
          <w:bCs/>
          <w:u w:val="single"/>
        </w:rPr>
        <w:t xml:space="preserve"> request</w:t>
      </w:r>
      <w:r w:rsidRPr="009D7752">
        <w:rPr>
          <w:b/>
          <w:bCs/>
          <w:u w:val="single"/>
        </w:rPr>
        <w:t>?</w:t>
      </w:r>
      <w:r w:rsidR="002A39DC" w:rsidRPr="004F5D4B">
        <w:rPr>
          <w:b/>
          <w:bCs/>
          <w:u w:val="single"/>
        </w:rPr>
        <w:t xml:space="preserve"> </w:t>
      </w:r>
    </w:p>
    <w:p w14:paraId="040BEC8C" w14:textId="068E199E" w:rsidR="00D30443" w:rsidRPr="009D7752" w:rsidRDefault="00880E2E" w:rsidP="008062CC">
      <w:r>
        <w:t xml:space="preserve">Sometimes our members need medications that are not on the plans drugs list also called the drug formulary.  These requests are reviewed by Imperial through a special process called the formulary exception review process.  </w:t>
      </w:r>
      <w:r w:rsidR="00A70A8E" w:rsidRPr="00A70A8E">
        <w:t>The member or provider can submit the request to us by</w:t>
      </w:r>
      <w:r w:rsidR="00A70A8E">
        <w:t xml:space="preserve"> phone, fax, and mail. </w:t>
      </w:r>
      <w:r>
        <w:t xml:space="preserve">If the request is denied, you </w:t>
      </w:r>
      <w:r w:rsidR="008062CC">
        <w:t>have the right to an</w:t>
      </w:r>
      <w:r>
        <w:t xml:space="preserve"> external review.  </w:t>
      </w:r>
    </w:p>
    <w:p w14:paraId="5022D528" w14:textId="1AC2BC29" w:rsidR="009D7752" w:rsidRPr="009D7752" w:rsidRDefault="009D7752" w:rsidP="009D7752">
      <w:r w:rsidRPr="009D7752">
        <w:rPr>
          <w:b/>
          <w:bCs/>
          <w:u w:val="single"/>
        </w:rPr>
        <w:t>Important things to know about asking for exceptions</w:t>
      </w:r>
      <w:r w:rsidRPr="009D7752">
        <w:rPr>
          <w:b/>
          <w:bCs/>
        </w:rPr>
        <w:t>.</w:t>
      </w:r>
      <w:r w:rsidRPr="009D7752">
        <w:t>  </w:t>
      </w:r>
    </w:p>
    <w:p w14:paraId="79504A12" w14:textId="40ACE1BA" w:rsidR="00A70A8E" w:rsidRDefault="009D7752" w:rsidP="009D7752">
      <w:r w:rsidRPr="009D7752">
        <w:t>When you ask for an exception, your doctor or other prescriber must give us a written request for exception that explains the medical reasons for requesting the exception</w:t>
      </w:r>
      <w:r w:rsidR="008062CC">
        <w:t xml:space="preserve"> and why it needs to be approved</w:t>
      </w:r>
      <w:r w:rsidRPr="009D7752">
        <w:t>. If your health requires a quick response, you can ask us to make a</w:t>
      </w:r>
      <w:r w:rsidR="00A70A8E">
        <w:t>n</w:t>
      </w:r>
      <w:r w:rsidRPr="009D7752">
        <w:t xml:space="preserve"> </w:t>
      </w:r>
      <w:r w:rsidR="00A70A8E">
        <w:t>expedited</w:t>
      </w:r>
      <w:r w:rsidR="00A70A8E" w:rsidRPr="009D7752">
        <w:t xml:space="preserve"> </w:t>
      </w:r>
      <w:r w:rsidR="00A70A8E">
        <w:t xml:space="preserve">or </w:t>
      </w:r>
      <w:r w:rsidRPr="009D7752">
        <w:t>fast</w:t>
      </w:r>
      <w:r w:rsidR="00A70A8E">
        <w:t xml:space="preserve"> </w:t>
      </w:r>
      <w:r w:rsidRPr="009D7752">
        <w:t>decision.  For a</w:t>
      </w:r>
      <w:r w:rsidR="00A70A8E">
        <w:t xml:space="preserve">n expedited or </w:t>
      </w:r>
      <w:r w:rsidRPr="009D7752">
        <w:t xml:space="preserve">fast decision, include this medical information from your doctor or other prescriber when you ask for </w:t>
      </w:r>
      <w:r w:rsidR="00A70A8E" w:rsidRPr="009D7752">
        <w:t>an</w:t>
      </w:r>
      <w:r w:rsidRPr="009D7752">
        <w:t xml:space="preserve"> exception.</w:t>
      </w:r>
    </w:p>
    <w:p w14:paraId="40022B1D" w14:textId="77777777" w:rsidR="00A70A8E" w:rsidRDefault="00A70A8E" w:rsidP="00A70A8E">
      <w:pPr>
        <w:pStyle w:val="ListParagraph"/>
        <w:numPr>
          <w:ilvl w:val="0"/>
          <w:numId w:val="6"/>
        </w:numPr>
      </w:pPr>
      <w:r w:rsidRPr="00A70A8E">
        <w:t>For initial</w:t>
      </w:r>
      <w:r w:rsidRPr="00A70A8E">
        <w:rPr>
          <w:b/>
          <w:bCs/>
        </w:rPr>
        <w:t xml:space="preserve"> standard</w:t>
      </w:r>
      <w:r w:rsidRPr="00A70A8E">
        <w:t xml:space="preserve"> exception review of medical requests, the timeframe for review is </w:t>
      </w:r>
      <w:r w:rsidRPr="004F5D4B">
        <w:rPr>
          <w:b/>
          <w:bCs/>
          <w:u w:val="single"/>
        </w:rPr>
        <w:t>72 hours</w:t>
      </w:r>
      <w:r w:rsidRPr="00A70A8E">
        <w:t xml:space="preserve"> from when we receive the request. </w:t>
      </w:r>
    </w:p>
    <w:p w14:paraId="499DEEB1" w14:textId="4B1D50A1" w:rsidR="009D7752" w:rsidRDefault="00A70A8E" w:rsidP="00A70A8E">
      <w:pPr>
        <w:pStyle w:val="ListParagraph"/>
        <w:numPr>
          <w:ilvl w:val="0"/>
          <w:numId w:val="6"/>
        </w:numPr>
      </w:pPr>
      <w:r w:rsidRPr="00A70A8E">
        <w:t xml:space="preserve">For initial </w:t>
      </w:r>
      <w:r w:rsidRPr="00A70A8E">
        <w:rPr>
          <w:b/>
          <w:bCs/>
        </w:rPr>
        <w:t>expedited</w:t>
      </w:r>
      <w:r w:rsidRPr="00A70A8E">
        <w:t xml:space="preserve"> </w:t>
      </w:r>
      <w:r w:rsidRPr="00A70A8E">
        <w:rPr>
          <w:b/>
          <w:bCs/>
        </w:rPr>
        <w:t>or fast</w:t>
      </w:r>
      <w:r>
        <w:t xml:space="preserve"> </w:t>
      </w:r>
      <w:r w:rsidRPr="00A70A8E">
        <w:t xml:space="preserve">exception review of medical requests, the timeframe for review is </w:t>
      </w:r>
      <w:r w:rsidRPr="004F5D4B">
        <w:rPr>
          <w:b/>
          <w:bCs/>
          <w:u w:val="single"/>
        </w:rPr>
        <w:t>24 hours</w:t>
      </w:r>
      <w:r w:rsidRPr="00A70A8E">
        <w:t xml:space="preserve"> from when we receive the request.</w:t>
      </w:r>
      <w:r w:rsidR="009D7752" w:rsidRPr="009D7752">
        <w:t> </w:t>
      </w:r>
    </w:p>
    <w:p w14:paraId="373FB12A" w14:textId="77777777" w:rsidR="004F5D4B" w:rsidRPr="009D7752" w:rsidRDefault="004F5D4B" w:rsidP="004F5D4B">
      <w:pPr>
        <w:pStyle w:val="ListParagraph"/>
        <w:ind w:left="360"/>
      </w:pPr>
    </w:p>
    <w:p w14:paraId="4ADAEB32" w14:textId="77777777" w:rsidR="009D7752" w:rsidRPr="009D7752" w:rsidRDefault="009D7752" w:rsidP="009D7752">
      <w:pPr>
        <w:rPr>
          <w:u w:val="single"/>
        </w:rPr>
      </w:pPr>
      <w:r w:rsidRPr="009D7752">
        <w:rPr>
          <w:b/>
          <w:bCs/>
          <w:u w:val="single"/>
        </w:rPr>
        <w:t>What to do</w:t>
      </w:r>
      <w:r w:rsidRPr="009D7752">
        <w:rPr>
          <w:u w:val="single"/>
        </w:rPr>
        <w:t> </w:t>
      </w:r>
    </w:p>
    <w:p w14:paraId="4B7DB069" w14:textId="45FEAFAF" w:rsidR="009D7752" w:rsidRPr="009D7752" w:rsidRDefault="009D7752" w:rsidP="009D7752">
      <w:r w:rsidRPr="009D7752">
        <w:t>You</w:t>
      </w:r>
      <w:r w:rsidR="00053F7F">
        <w:t>r</w:t>
      </w:r>
      <w:r w:rsidRPr="009D7752">
        <w:t xml:space="preserve"> doctor, or other prescriber may use the form below to submit your request for a coverage determination and/or an exception.    </w:t>
      </w:r>
    </w:p>
    <w:p w14:paraId="0201D9D6" w14:textId="158FECB4" w:rsidR="00053F7F" w:rsidRPr="009D7752" w:rsidRDefault="00053F7F" w:rsidP="00053F7F">
      <w:pPr>
        <w:numPr>
          <w:ilvl w:val="1"/>
          <w:numId w:val="2"/>
        </w:numPr>
      </w:pPr>
      <w:r>
        <w:t xml:space="preserve"> </w:t>
      </w:r>
      <w:hyperlink r:id="rId5" w:history="1">
        <w:r w:rsidRPr="00981524">
          <w:rPr>
            <w:rStyle w:val="Hyperlink"/>
          </w:rPr>
          <w:t>https://www.medimpact.com/sites/default/files/2023-10/MedImpact-Standard-MRF-2023-rev3.pdf</w:t>
        </w:r>
      </w:hyperlink>
      <w:r>
        <w:t xml:space="preserve"> </w:t>
      </w:r>
    </w:p>
    <w:p w14:paraId="07EE150C" w14:textId="77777777" w:rsidR="009D7752" w:rsidRPr="009D7752" w:rsidRDefault="009D7752" w:rsidP="009D7752">
      <w:r w:rsidRPr="009D7752">
        <w:lastRenderedPageBreak/>
        <w:t>If you do not use this form, you will need to provide the same information indicated in the form so that we can process your request in a timely manner.    </w:t>
      </w:r>
    </w:p>
    <w:p w14:paraId="53AA1D2A" w14:textId="77777777" w:rsidR="009D7752" w:rsidRPr="009D7752" w:rsidRDefault="009D7752" w:rsidP="009D7752">
      <w:r w:rsidRPr="009D7752">
        <w:rPr>
          <w:b/>
          <w:bCs/>
        </w:rPr>
        <w:t>You can also ask for a coverage decision and/or exception by:</w:t>
      </w:r>
      <w:r w:rsidRPr="009D7752">
        <w:t>   </w:t>
      </w:r>
    </w:p>
    <w:p w14:paraId="402DA9C0" w14:textId="5C669995" w:rsidR="009D7752" w:rsidRPr="009D7752" w:rsidRDefault="009D7752" w:rsidP="002A39DC">
      <w:pPr>
        <w:numPr>
          <w:ilvl w:val="0"/>
          <w:numId w:val="4"/>
        </w:numPr>
        <w:tabs>
          <w:tab w:val="clear" w:pos="720"/>
          <w:tab w:val="num" w:pos="360"/>
        </w:tabs>
        <w:ind w:left="360"/>
      </w:pPr>
      <w:r w:rsidRPr="009D7752">
        <w:rPr>
          <w:b/>
          <w:bCs/>
        </w:rPr>
        <w:t>Phone: </w:t>
      </w:r>
      <w:r w:rsidRPr="009D7752">
        <w:t> </w:t>
      </w:r>
      <w:proofErr w:type="spellStart"/>
      <w:r w:rsidRPr="009D7752">
        <w:t>Medimpact’s</w:t>
      </w:r>
      <w:proofErr w:type="spellEnd"/>
      <w:r w:rsidRPr="009D7752">
        <w:t xml:space="preserve"> Pharmacy Help Desk #: </w:t>
      </w:r>
      <w:r w:rsidR="00D30443" w:rsidRPr="009D7752">
        <w:rPr>
          <w:b/>
          <w:bCs/>
        </w:rPr>
        <w:t>844-269-0977</w:t>
      </w:r>
    </w:p>
    <w:p w14:paraId="32D60E42" w14:textId="5990FC43" w:rsidR="009D7752" w:rsidRPr="009D7752" w:rsidRDefault="009D7752" w:rsidP="002A39DC">
      <w:pPr>
        <w:numPr>
          <w:ilvl w:val="0"/>
          <w:numId w:val="5"/>
        </w:numPr>
        <w:tabs>
          <w:tab w:val="clear" w:pos="720"/>
          <w:tab w:val="num" w:pos="360"/>
        </w:tabs>
        <w:ind w:left="360"/>
      </w:pPr>
      <w:r w:rsidRPr="009D7752">
        <w:rPr>
          <w:b/>
          <w:bCs/>
        </w:rPr>
        <w:t>Fax:</w:t>
      </w:r>
      <w:r w:rsidRPr="009D7752">
        <w:t>  Submitting a written request or a completed</w:t>
      </w:r>
      <w:r w:rsidR="00053F7F">
        <w:t xml:space="preserve"> Medication </w:t>
      </w:r>
      <w:r w:rsidRPr="009D7752">
        <w:t>Form by fax to </w:t>
      </w:r>
      <w:r w:rsidR="00D30443">
        <w:t xml:space="preserve">#: </w:t>
      </w:r>
      <w:r w:rsidRPr="009D7752">
        <w:rPr>
          <w:b/>
          <w:bCs/>
        </w:rPr>
        <w:t>1-858-790-7100 </w:t>
      </w:r>
      <w:r w:rsidRPr="009D7752">
        <w:t>  </w:t>
      </w:r>
    </w:p>
    <w:p w14:paraId="3265FE54" w14:textId="2F2A394E" w:rsidR="009D7752" w:rsidRDefault="009D7752" w:rsidP="004F5D4B">
      <w:pPr>
        <w:numPr>
          <w:ilvl w:val="0"/>
          <w:numId w:val="5"/>
        </w:numPr>
        <w:tabs>
          <w:tab w:val="clear" w:pos="720"/>
          <w:tab w:val="num" w:pos="360"/>
        </w:tabs>
        <w:spacing w:line="240" w:lineRule="auto"/>
        <w:ind w:left="360"/>
      </w:pPr>
      <w:r w:rsidRPr="009D7752">
        <w:rPr>
          <w:b/>
          <w:bCs/>
        </w:rPr>
        <w:t>Mail your request to:</w:t>
      </w:r>
      <w:r w:rsidRPr="009D7752">
        <w:t>   </w:t>
      </w:r>
      <w:r w:rsidRPr="009D7752">
        <w:rPr>
          <w:b/>
          <w:bCs/>
        </w:rPr>
        <w:t>Attn: Clinical Services</w:t>
      </w:r>
      <w:r w:rsidRPr="009D7752">
        <w:t>  </w:t>
      </w:r>
      <w:r w:rsidRPr="009D7752">
        <w:br/>
      </w:r>
      <w:r w:rsidRPr="009D7752">
        <w:rPr>
          <w:b/>
          <w:bCs/>
        </w:rPr>
        <w:t xml:space="preserve">                                               </w:t>
      </w:r>
      <w:r w:rsidR="00D30443">
        <w:rPr>
          <w:b/>
          <w:bCs/>
        </w:rPr>
        <w:t xml:space="preserve">     </w:t>
      </w:r>
      <w:r w:rsidRPr="009D7752">
        <w:rPr>
          <w:b/>
          <w:bCs/>
        </w:rPr>
        <w:t>10181 Scripps Gateway Court</w:t>
      </w:r>
      <w:r w:rsidRPr="009D7752">
        <w:t> </w:t>
      </w:r>
      <w:r w:rsidRPr="009D7752">
        <w:br/>
      </w:r>
      <w:r w:rsidRPr="009D7752">
        <w:rPr>
          <w:b/>
          <w:bCs/>
        </w:rPr>
        <w:t>                                             </w:t>
      </w:r>
      <w:r w:rsidR="00D30443">
        <w:rPr>
          <w:b/>
          <w:bCs/>
        </w:rPr>
        <w:t xml:space="preserve">     </w:t>
      </w:r>
      <w:r w:rsidRPr="009D7752">
        <w:rPr>
          <w:b/>
          <w:bCs/>
        </w:rPr>
        <w:t>  San Diego, CA 92131</w:t>
      </w:r>
      <w:r w:rsidRPr="009D7752">
        <w:t> </w:t>
      </w:r>
    </w:p>
    <w:p w14:paraId="4A910A56" w14:textId="77777777" w:rsidR="00A70A8E" w:rsidRDefault="00A70A8E" w:rsidP="00A70A8E"/>
    <w:p w14:paraId="4840DE65" w14:textId="77486F6B" w:rsidR="00A70A8E" w:rsidRPr="004F5D4B" w:rsidRDefault="00A70A8E" w:rsidP="00A70A8E">
      <w:pPr>
        <w:rPr>
          <w:b/>
          <w:bCs/>
          <w:u w:val="single"/>
        </w:rPr>
      </w:pPr>
      <w:r w:rsidRPr="004F5D4B">
        <w:rPr>
          <w:b/>
          <w:bCs/>
          <w:u w:val="single"/>
        </w:rPr>
        <w:t>How to request an external review</w:t>
      </w:r>
    </w:p>
    <w:p w14:paraId="492646B6" w14:textId="799E6C7C" w:rsidR="00744344" w:rsidRPr="00744344" w:rsidRDefault="00A70A8E" w:rsidP="00744344">
      <w:pPr>
        <w:keepNext/>
        <w:widowControl w:val="0"/>
        <w:autoSpaceDE w:val="0"/>
        <w:autoSpaceDN w:val="0"/>
        <w:spacing w:after="120" w:line="240" w:lineRule="auto"/>
        <w:rPr>
          <w:color w:val="231F20"/>
        </w:rPr>
      </w:pPr>
      <w:r w:rsidRPr="00A70A8E">
        <w:t>If you feel we have denied</w:t>
      </w:r>
      <w:r>
        <w:t xml:space="preserve"> your exception</w:t>
      </w:r>
      <w:r w:rsidRPr="00A70A8E">
        <w:t xml:space="preserve"> request incorrectly, you may ask us to submit the case for an external review by an impartial, third-party reviewer known as an independent review organization (IRO). We must follow the IRO’s decision. </w:t>
      </w:r>
      <w:r w:rsidR="00744344" w:rsidRPr="00744344">
        <w:rPr>
          <w:color w:val="231F20"/>
        </w:rPr>
        <w:t>You</w:t>
      </w:r>
      <w:r w:rsidR="00744344" w:rsidRPr="00744344">
        <w:rPr>
          <w:color w:val="231F20"/>
          <w:spacing w:val="-3"/>
        </w:rPr>
        <w:t xml:space="preserve"> </w:t>
      </w:r>
      <w:r w:rsidR="00744344" w:rsidRPr="00744344">
        <w:rPr>
          <w:color w:val="231F20"/>
        </w:rPr>
        <w:t xml:space="preserve">have 60 days from the date of the written denial notice </w:t>
      </w:r>
      <w:r w:rsidR="00744344">
        <w:rPr>
          <w:color w:val="231F20"/>
        </w:rPr>
        <w:t>to request an external review</w:t>
      </w:r>
      <w:r w:rsidR="00744344" w:rsidRPr="00744344">
        <w:rPr>
          <w:color w:val="231F20"/>
        </w:rPr>
        <w:t>.</w:t>
      </w:r>
    </w:p>
    <w:p w14:paraId="00635DF9" w14:textId="5C739705" w:rsidR="00A70A8E" w:rsidRDefault="00A70A8E" w:rsidP="00A70A8E">
      <w:r w:rsidRPr="00A70A8E">
        <w:t xml:space="preserve">An IRO review may be requested by a member, member’s representative, or prescribing provider by mailing, calling, or faxing the request: </w:t>
      </w:r>
    </w:p>
    <w:p w14:paraId="6F5A40BC" w14:textId="35027F8F" w:rsidR="00744344" w:rsidRDefault="00744344" w:rsidP="004F5D4B">
      <w:pPr>
        <w:pStyle w:val="ListParagraph"/>
        <w:numPr>
          <w:ilvl w:val="0"/>
          <w:numId w:val="9"/>
        </w:numPr>
        <w:ind w:left="360"/>
      </w:pPr>
      <w:r w:rsidRPr="00744344">
        <w:rPr>
          <w:b/>
          <w:bCs/>
        </w:rPr>
        <w:t>Form:</w:t>
      </w:r>
      <w:r>
        <w:t xml:space="preserve"> </w:t>
      </w:r>
      <w:r w:rsidRPr="00744344">
        <w:t>https://exchange.imperialhealthplan.com/wp-content/uploads/2023/05/IR_015-Exchange-Complaint-Form_ENG-04.17.23.docx</w:t>
      </w:r>
    </w:p>
    <w:p w14:paraId="5BF67203" w14:textId="0E30C9A4" w:rsidR="00744344" w:rsidRPr="007468DE" w:rsidRDefault="00744344" w:rsidP="004F5D4B">
      <w:pPr>
        <w:pStyle w:val="ListParagraph"/>
        <w:keepNext/>
        <w:widowControl w:val="0"/>
        <w:numPr>
          <w:ilvl w:val="1"/>
          <w:numId w:val="8"/>
        </w:numPr>
        <w:autoSpaceDE w:val="0"/>
        <w:autoSpaceDN w:val="0"/>
        <w:spacing w:after="60" w:line="240" w:lineRule="auto"/>
        <w:ind w:left="302" w:hanging="302"/>
        <w:contextualSpacing w:val="0"/>
      </w:pPr>
      <w:r w:rsidRPr="007468DE">
        <w:rPr>
          <w:b/>
          <w:color w:val="231F20"/>
        </w:rPr>
        <w:t>Phone:</w:t>
      </w:r>
      <w:r w:rsidRPr="007468DE">
        <w:rPr>
          <w:b/>
          <w:color w:val="231F20"/>
          <w:spacing w:val="-3"/>
        </w:rPr>
        <w:t xml:space="preserve"> </w:t>
      </w:r>
      <w:r w:rsidRPr="007468DE">
        <w:rPr>
          <w:color w:val="231F20"/>
        </w:rPr>
        <w:t>Call</w:t>
      </w:r>
      <w:r w:rsidRPr="007468DE">
        <w:rPr>
          <w:color w:val="231F20"/>
          <w:spacing w:val="-1"/>
        </w:rPr>
        <w:t xml:space="preserve"> </w:t>
      </w:r>
      <w:r w:rsidRPr="007468DE">
        <w:rPr>
          <w:color w:val="231F20"/>
        </w:rPr>
        <w:t>Member</w:t>
      </w:r>
      <w:r w:rsidRPr="007468DE">
        <w:rPr>
          <w:color w:val="231F20"/>
          <w:spacing w:val="-1"/>
        </w:rPr>
        <w:t xml:space="preserve"> </w:t>
      </w:r>
      <w:r w:rsidRPr="007468DE">
        <w:rPr>
          <w:color w:val="231F20"/>
        </w:rPr>
        <w:t xml:space="preserve">Services </w:t>
      </w:r>
      <w:r w:rsidRPr="007468DE">
        <w:rPr>
          <w:color w:val="231F20"/>
          <w:spacing w:val="-5"/>
        </w:rPr>
        <w:t>at</w:t>
      </w:r>
      <w:r>
        <w:rPr>
          <w:color w:val="231F20"/>
          <w:spacing w:val="-5"/>
        </w:rPr>
        <w:t xml:space="preserve"> </w:t>
      </w:r>
      <w:r>
        <w:rPr>
          <w:color w:val="231F20"/>
          <w:spacing w:val="-2"/>
        </w:rPr>
        <w:t>1-800-595-</w:t>
      </w:r>
      <w:r>
        <w:rPr>
          <w:color w:val="231F20"/>
          <w:spacing w:val="-4"/>
        </w:rPr>
        <w:t xml:space="preserve">0619 </w:t>
      </w:r>
      <w:r w:rsidRPr="007468DE">
        <w:rPr>
          <w:color w:val="231F20"/>
        </w:rPr>
        <w:t>TTY:</w:t>
      </w:r>
      <w:r w:rsidRPr="007468DE">
        <w:rPr>
          <w:color w:val="231F20"/>
          <w:spacing w:val="-2"/>
        </w:rPr>
        <w:t xml:space="preserve"> </w:t>
      </w:r>
      <w:r w:rsidRPr="007468DE">
        <w:rPr>
          <w:color w:val="231F20"/>
          <w:spacing w:val="-4"/>
        </w:rPr>
        <w:t>711.</w:t>
      </w:r>
    </w:p>
    <w:p w14:paraId="1880C612" w14:textId="77777777" w:rsidR="00744344" w:rsidRPr="0066205D" w:rsidRDefault="00744344" w:rsidP="004F5D4B">
      <w:pPr>
        <w:pStyle w:val="ListParagraph"/>
        <w:keepNext/>
        <w:widowControl w:val="0"/>
        <w:numPr>
          <w:ilvl w:val="1"/>
          <w:numId w:val="8"/>
        </w:numPr>
        <w:autoSpaceDE w:val="0"/>
        <w:autoSpaceDN w:val="0"/>
        <w:spacing w:after="60" w:line="240" w:lineRule="auto"/>
        <w:ind w:left="302" w:hanging="302"/>
        <w:contextualSpacing w:val="0"/>
      </w:pPr>
      <w:r w:rsidRPr="0066205D">
        <w:rPr>
          <w:b/>
          <w:color w:val="231F20"/>
        </w:rPr>
        <w:t>Fax</w:t>
      </w:r>
      <w:r w:rsidRPr="0066205D">
        <w:rPr>
          <w:color w:val="231F20"/>
        </w:rPr>
        <w:t>:</w:t>
      </w:r>
      <w:r w:rsidRPr="0066205D">
        <w:rPr>
          <w:color w:val="231F20"/>
          <w:spacing w:val="-5"/>
        </w:rPr>
        <w:t xml:space="preserve"> </w:t>
      </w:r>
      <w:r w:rsidRPr="0066205D">
        <w:rPr>
          <w:color w:val="231F20"/>
        </w:rPr>
        <w:t>Submitting</w:t>
      </w:r>
      <w:r w:rsidRPr="0066205D">
        <w:rPr>
          <w:color w:val="231F20"/>
          <w:spacing w:val="-5"/>
        </w:rPr>
        <w:t xml:space="preserve"> </w:t>
      </w:r>
      <w:r w:rsidRPr="0066205D">
        <w:rPr>
          <w:color w:val="231F20"/>
        </w:rPr>
        <w:t>a</w:t>
      </w:r>
      <w:r w:rsidRPr="0066205D">
        <w:rPr>
          <w:color w:val="231F20"/>
          <w:spacing w:val="-5"/>
        </w:rPr>
        <w:t xml:space="preserve"> </w:t>
      </w:r>
      <w:r w:rsidRPr="0066205D">
        <w:rPr>
          <w:color w:val="231F20"/>
        </w:rPr>
        <w:t>written</w:t>
      </w:r>
      <w:r w:rsidRPr="0066205D">
        <w:rPr>
          <w:color w:val="231F20"/>
          <w:spacing w:val="-5"/>
        </w:rPr>
        <w:t xml:space="preserve"> </w:t>
      </w:r>
      <w:r w:rsidRPr="0066205D">
        <w:rPr>
          <w:color w:val="231F20"/>
        </w:rPr>
        <w:t>appeal</w:t>
      </w:r>
      <w:r w:rsidRPr="0066205D">
        <w:rPr>
          <w:color w:val="231F20"/>
          <w:spacing w:val="-5"/>
        </w:rPr>
        <w:t xml:space="preserve"> </w:t>
      </w:r>
      <w:r w:rsidRPr="0066205D">
        <w:rPr>
          <w:color w:val="231F20"/>
        </w:rPr>
        <w:t>or</w:t>
      </w:r>
      <w:r w:rsidRPr="0066205D">
        <w:rPr>
          <w:color w:val="231F20"/>
          <w:spacing w:val="-5"/>
        </w:rPr>
        <w:t xml:space="preserve"> </w:t>
      </w:r>
      <w:r w:rsidRPr="0066205D">
        <w:rPr>
          <w:color w:val="231F20"/>
        </w:rPr>
        <w:t>a</w:t>
      </w:r>
      <w:r w:rsidRPr="0066205D">
        <w:rPr>
          <w:color w:val="231F20"/>
          <w:spacing w:val="-5"/>
        </w:rPr>
        <w:t xml:space="preserve"> </w:t>
      </w:r>
      <w:r w:rsidRPr="0066205D">
        <w:rPr>
          <w:color w:val="231F20"/>
        </w:rPr>
        <w:t>completed</w:t>
      </w:r>
      <w:r w:rsidRPr="0066205D">
        <w:rPr>
          <w:color w:val="231F20"/>
          <w:spacing w:val="-5"/>
        </w:rPr>
        <w:t xml:space="preserve"> </w:t>
      </w:r>
      <w:r w:rsidRPr="0066205D">
        <w:rPr>
          <w:color w:val="231F20"/>
        </w:rPr>
        <w:t>Imperial</w:t>
      </w:r>
      <w:r w:rsidRPr="0066205D">
        <w:rPr>
          <w:color w:val="231F20"/>
          <w:spacing w:val="-4"/>
        </w:rPr>
        <w:t xml:space="preserve"> </w:t>
      </w:r>
      <w:r w:rsidRPr="0066205D">
        <w:rPr>
          <w:color w:val="231F20"/>
        </w:rPr>
        <w:t xml:space="preserve">Insurance Companies, Inc. Appeal Request Form by fax to </w:t>
      </w:r>
      <w:r w:rsidRPr="0066205D">
        <w:rPr>
          <w:color w:val="231F20"/>
          <w:spacing w:val="-2"/>
        </w:rPr>
        <w:t>1-626-737-</w:t>
      </w:r>
      <w:r w:rsidRPr="0066205D">
        <w:rPr>
          <w:color w:val="231F20"/>
          <w:spacing w:val="-4"/>
        </w:rPr>
        <w:t>0989</w:t>
      </w:r>
    </w:p>
    <w:p w14:paraId="1F3B5704" w14:textId="77777777" w:rsidR="00744344" w:rsidRDefault="00744344" w:rsidP="004F5D4B">
      <w:pPr>
        <w:pStyle w:val="ListParagraph"/>
        <w:keepNext/>
        <w:widowControl w:val="0"/>
        <w:numPr>
          <w:ilvl w:val="1"/>
          <w:numId w:val="8"/>
        </w:numPr>
        <w:autoSpaceDE w:val="0"/>
        <w:autoSpaceDN w:val="0"/>
        <w:spacing w:after="60" w:line="252" w:lineRule="exact"/>
        <w:ind w:left="302" w:hanging="302"/>
        <w:contextualSpacing w:val="0"/>
      </w:pPr>
      <w:r w:rsidRPr="004C1404">
        <w:rPr>
          <w:b/>
          <w:color w:val="231F20"/>
        </w:rPr>
        <w:t>Email</w:t>
      </w:r>
      <w:r w:rsidRPr="004C1404">
        <w:rPr>
          <w:color w:val="231F20"/>
        </w:rPr>
        <w:t>:</w:t>
      </w:r>
      <w:r w:rsidRPr="004C1404">
        <w:rPr>
          <w:color w:val="231F20"/>
          <w:spacing w:val="-1"/>
        </w:rPr>
        <w:t xml:space="preserve"> </w:t>
      </w:r>
      <w:hyperlink r:id="rId6" w:history="1">
        <w:r w:rsidRPr="00364AA8">
          <w:rPr>
            <w:rStyle w:val="Hyperlink"/>
          </w:rPr>
          <w:t>exchangecomplaints@imperialhealthplan.com</w:t>
        </w:r>
      </w:hyperlink>
      <w:r w:rsidRPr="004C1404">
        <w:rPr>
          <w:color w:val="231F20"/>
          <w:spacing w:val="-1"/>
        </w:rPr>
        <w:t xml:space="preserve"> </w:t>
      </w:r>
      <w:r w:rsidRPr="004C1404">
        <w:rPr>
          <w:color w:val="231F20"/>
        </w:rPr>
        <w:t>with</w:t>
      </w:r>
      <w:r w:rsidRPr="004C1404">
        <w:rPr>
          <w:color w:val="231F20"/>
          <w:spacing w:val="-1"/>
        </w:rPr>
        <w:t xml:space="preserve"> </w:t>
      </w:r>
      <w:r w:rsidRPr="004C1404">
        <w:rPr>
          <w:color w:val="231F20"/>
        </w:rPr>
        <w:t xml:space="preserve">a </w:t>
      </w:r>
      <w:r w:rsidRPr="004C1404">
        <w:rPr>
          <w:color w:val="231F20"/>
          <w:spacing w:val="-5"/>
        </w:rPr>
        <w:t>completed</w:t>
      </w:r>
      <w:r>
        <w:rPr>
          <w:color w:val="231F20"/>
          <w:spacing w:val="-5"/>
        </w:rPr>
        <w:t xml:space="preserve"> </w:t>
      </w:r>
      <w:r w:rsidRPr="004C1404">
        <w:rPr>
          <w:color w:val="231F20"/>
        </w:rPr>
        <w:t>Imperial</w:t>
      </w:r>
      <w:r w:rsidRPr="004C1404">
        <w:rPr>
          <w:color w:val="231F20"/>
          <w:spacing w:val="-6"/>
        </w:rPr>
        <w:t xml:space="preserve"> </w:t>
      </w:r>
      <w:r w:rsidRPr="004C1404">
        <w:rPr>
          <w:color w:val="231F20"/>
        </w:rPr>
        <w:t>Insurance</w:t>
      </w:r>
      <w:r w:rsidRPr="004C1404">
        <w:rPr>
          <w:color w:val="231F20"/>
          <w:spacing w:val="-4"/>
        </w:rPr>
        <w:t xml:space="preserve"> </w:t>
      </w:r>
      <w:r w:rsidRPr="004C1404">
        <w:rPr>
          <w:color w:val="231F20"/>
        </w:rPr>
        <w:t>Companies,</w:t>
      </w:r>
      <w:r w:rsidRPr="004C1404">
        <w:rPr>
          <w:color w:val="231F20"/>
          <w:spacing w:val="-4"/>
        </w:rPr>
        <w:t xml:space="preserve"> </w:t>
      </w:r>
      <w:r w:rsidRPr="004C1404">
        <w:rPr>
          <w:color w:val="231F20"/>
        </w:rPr>
        <w:t>Inc.</w:t>
      </w:r>
      <w:r w:rsidRPr="004C1404">
        <w:rPr>
          <w:color w:val="231F20"/>
          <w:spacing w:val="-4"/>
        </w:rPr>
        <w:t xml:space="preserve"> </w:t>
      </w:r>
      <w:r w:rsidRPr="004C1404">
        <w:rPr>
          <w:color w:val="231F20"/>
        </w:rPr>
        <w:t>Appeal</w:t>
      </w:r>
      <w:r w:rsidRPr="004C1404">
        <w:rPr>
          <w:color w:val="231F20"/>
          <w:spacing w:val="-4"/>
        </w:rPr>
        <w:t xml:space="preserve"> </w:t>
      </w:r>
      <w:r w:rsidRPr="004C1404">
        <w:rPr>
          <w:color w:val="231F20"/>
          <w:spacing w:val="-2"/>
        </w:rPr>
        <w:t>Request.</w:t>
      </w:r>
    </w:p>
    <w:p w14:paraId="4285E9F4" w14:textId="77777777" w:rsidR="00744344" w:rsidRPr="004C1404" w:rsidRDefault="00744344" w:rsidP="004F5D4B">
      <w:pPr>
        <w:pStyle w:val="ListParagraph"/>
        <w:keepNext/>
        <w:widowControl w:val="0"/>
        <w:numPr>
          <w:ilvl w:val="1"/>
          <w:numId w:val="8"/>
        </w:numPr>
        <w:autoSpaceDE w:val="0"/>
        <w:autoSpaceDN w:val="0"/>
        <w:spacing w:after="60" w:line="240" w:lineRule="auto"/>
        <w:ind w:left="302" w:hanging="302"/>
        <w:contextualSpacing w:val="0"/>
        <w:rPr>
          <w:b/>
        </w:rPr>
      </w:pPr>
      <w:r w:rsidRPr="004C1404">
        <w:rPr>
          <w:b/>
          <w:color w:val="231F20"/>
        </w:rPr>
        <w:t>Send</w:t>
      </w:r>
      <w:r w:rsidRPr="004C1404">
        <w:rPr>
          <w:b/>
          <w:color w:val="231F20"/>
          <w:spacing w:val="-4"/>
        </w:rPr>
        <w:t xml:space="preserve"> </w:t>
      </w:r>
      <w:r w:rsidRPr="004C1404">
        <w:rPr>
          <w:b/>
          <w:color w:val="231F20"/>
        </w:rPr>
        <w:t>a</w:t>
      </w:r>
      <w:r w:rsidRPr="004C1404">
        <w:rPr>
          <w:b/>
          <w:color w:val="231F20"/>
          <w:spacing w:val="-4"/>
        </w:rPr>
        <w:t xml:space="preserve"> </w:t>
      </w:r>
      <w:r w:rsidRPr="004C1404">
        <w:rPr>
          <w:b/>
          <w:color w:val="231F20"/>
        </w:rPr>
        <w:t>letter</w:t>
      </w:r>
      <w:r w:rsidRPr="004C1404">
        <w:rPr>
          <w:b/>
          <w:color w:val="231F20"/>
          <w:spacing w:val="-4"/>
        </w:rPr>
        <w:t xml:space="preserve"> </w:t>
      </w:r>
      <w:r w:rsidRPr="004C1404">
        <w:rPr>
          <w:b/>
          <w:color w:val="231F20"/>
        </w:rPr>
        <w:t>to</w:t>
      </w:r>
      <w:r w:rsidRPr="004C1404">
        <w:rPr>
          <w:b/>
          <w:color w:val="231F20"/>
          <w:spacing w:val="-4"/>
        </w:rPr>
        <w:t xml:space="preserve"> </w:t>
      </w:r>
      <w:r w:rsidRPr="004C1404">
        <w:rPr>
          <w:b/>
          <w:color w:val="231F20"/>
        </w:rPr>
        <w:t>us.</w:t>
      </w:r>
      <w:r w:rsidRPr="004C1404">
        <w:rPr>
          <w:b/>
          <w:color w:val="231F20"/>
          <w:spacing w:val="-4"/>
        </w:rPr>
        <w:t xml:space="preserve"> </w:t>
      </w:r>
      <w:r w:rsidRPr="004C1404">
        <w:rPr>
          <w:b/>
          <w:color w:val="231F20"/>
        </w:rPr>
        <w:t>Mail</w:t>
      </w:r>
      <w:r w:rsidRPr="004C1404">
        <w:rPr>
          <w:b/>
          <w:color w:val="231F20"/>
          <w:spacing w:val="-4"/>
        </w:rPr>
        <w:t xml:space="preserve"> </w:t>
      </w:r>
      <w:r w:rsidRPr="004C1404">
        <w:rPr>
          <w:b/>
          <w:color w:val="231F20"/>
        </w:rPr>
        <w:t>your</w:t>
      </w:r>
      <w:r w:rsidRPr="004C1404">
        <w:rPr>
          <w:b/>
          <w:color w:val="231F20"/>
          <w:spacing w:val="-4"/>
        </w:rPr>
        <w:t xml:space="preserve"> </w:t>
      </w:r>
      <w:r w:rsidRPr="004C1404">
        <w:rPr>
          <w:b/>
          <w:color w:val="231F20"/>
        </w:rPr>
        <w:t>written</w:t>
      </w:r>
      <w:r w:rsidRPr="004C1404">
        <w:rPr>
          <w:b/>
          <w:color w:val="231F20"/>
          <w:spacing w:val="-4"/>
        </w:rPr>
        <w:t xml:space="preserve"> </w:t>
      </w:r>
      <w:r w:rsidRPr="004C1404">
        <w:rPr>
          <w:b/>
          <w:color w:val="231F20"/>
          <w:spacing w:val="-5"/>
        </w:rPr>
        <w:t>request</w:t>
      </w:r>
      <w:r w:rsidRPr="004C1404">
        <w:rPr>
          <w:b/>
          <w:color w:val="231F20"/>
          <w:spacing w:val="-4"/>
        </w:rPr>
        <w:t xml:space="preserve"> </w:t>
      </w:r>
      <w:r w:rsidRPr="004C1404">
        <w:rPr>
          <w:b/>
          <w:color w:val="231F20"/>
        </w:rPr>
        <w:t>to</w:t>
      </w:r>
      <w:r>
        <w:rPr>
          <w:b/>
          <w:color w:val="231F20"/>
        </w:rPr>
        <w:t xml:space="preserve">: </w:t>
      </w:r>
    </w:p>
    <w:p w14:paraId="266D03A5" w14:textId="77777777" w:rsidR="00744344" w:rsidRDefault="00744344" w:rsidP="004F5D4B">
      <w:pPr>
        <w:keepNext/>
        <w:spacing w:line="240" w:lineRule="auto"/>
        <w:ind w:left="1440"/>
        <w:rPr>
          <w:b/>
          <w:color w:val="231F20"/>
        </w:rPr>
      </w:pPr>
      <w:r w:rsidRPr="004C1404">
        <w:rPr>
          <w:b/>
          <w:color w:val="231F20"/>
        </w:rPr>
        <w:t xml:space="preserve">Imperial Insurance Companies, Inc. </w:t>
      </w:r>
    </w:p>
    <w:p w14:paraId="3F3187CA" w14:textId="77777777" w:rsidR="00744344" w:rsidRDefault="00744344" w:rsidP="004F5D4B">
      <w:pPr>
        <w:keepNext/>
        <w:spacing w:line="240" w:lineRule="auto"/>
        <w:ind w:left="1440"/>
        <w:rPr>
          <w:b/>
          <w:color w:val="231F20"/>
        </w:rPr>
      </w:pPr>
      <w:r w:rsidRPr="004C1404">
        <w:rPr>
          <w:b/>
          <w:color w:val="231F20"/>
        </w:rPr>
        <w:t>Attn: Appeals &amp; Grievances</w:t>
      </w:r>
    </w:p>
    <w:p w14:paraId="6A3328B9" w14:textId="77777777" w:rsidR="00744344" w:rsidRDefault="00744344" w:rsidP="004F5D4B">
      <w:pPr>
        <w:keepNext/>
        <w:spacing w:line="240" w:lineRule="auto"/>
        <w:ind w:left="1440"/>
        <w:rPr>
          <w:b/>
          <w:color w:val="231F20"/>
          <w:spacing w:val="-2"/>
        </w:rPr>
      </w:pPr>
      <w:r>
        <w:rPr>
          <w:b/>
          <w:color w:val="231F20"/>
        </w:rPr>
        <w:t>PO</w:t>
      </w:r>
      <w:r>
        <w:rPr>
          <w:b/>
          <w:color w:val="231F20"/>
          <w:spacing w:val="-1"/>
        </w:rPr>
        <w:t xml:space="preserve"> </w:t>
      </w:r>
      <w:r>
        <w:rPr>
          <w:b/>
          <w:color w:val="231F20"/>
        </w:rPr>
        <w:t>Box</w:t>
      </w:r>
      <w:r>
        <w:rPr>
          <w:b/>
          <w:color w:val="231F20"/>
          <w:spacing w:val="-1"/>
        </w:rPr>
        <w:t xml:space="preserve"> </w:t>
      </w:r>
      <w:r>
        <w:rPr>
          <w:b/>
          <w:color w:val="231F20"/>
          <w:spacing w:val="-2"/>
        </w:rPr>
        <w:t>60567</w:t>
      </w:r>
    </w:p>
    <w:p w14:paraId="5DAEA3CC" w14:textId="2B4B28AF" w:rsidR="00A70A8E" w:rsidRDefault="00744344" w:rsidP="004F5D4B">
      <w:pPr>
        <w:keepNext/>
        <w:spacing w:after="120" w:line="240" w:lineRule="auto"/>
        <w:ind w:left="1440"/>
        <w:rPr>
          <w:b/>
        </w:rPr>
      </w:pPr>
      <w:r>
        <w:rPr>
          <w:b/>
          <w:color w:val="231F20"/>
        </w:rPr>
        <w:t>Pasadena,</w:t>
      </w:r>
      <w:r>
        <w:rPr>
          <w:b/>
          <w:color w:val="231F20"/>
          <w:spacing w:val="-1"/>
        </w:rPr>
        <w:t xml:space="preserve"> </w:t>
      </w:r>
      <w:r>
        <w:rPr>
          <w:b/>
          <w:color w:val="231F20"/>
        </w:rPr>
        <w:t xml:space="preserve">CA </w:t>
      </w:r>
      <w:r>
        <w:rPr>
          <w:b/>
          <w:color w:val="231F20"/>
          <w:spacing w:val="-2"/>
        </w:rPr>
        <w:t>91116</w:t>
      </w:r>
    </w:p>
    <w:p w14:paraId="171589E8" w14:textId="77777777" w:rsidR="00744344" w:rsidRPr="00744344" w:rsidRDefault="00744344" w:rsidP="00744344">
      <w:pPr>
        <w:keepNext/>
        <w:spacing w:after="120"/>
        <w:ind w:left="1440"/>
        <w:rPr>
          <w:b/>
        </w:rPr>
      </w:pPr>
    </w:p>
    <w:p w14:paraId="6665C0B2" w14:textId="4DB4BD51" w:rsidR="009D7752" w:rsidRDefault="009D7752">
      <w:r w:rsidRPr="009D7752">
        <w:t>To find out more about the Coverage Determination</w:t>
      </w:r>
      <w:r w:rsidR="00053F7F">
        <w:t>/Exception</w:t>
      </w:r>
      <w:r w:rsidRPr="009D7752">
        <w:t xml:space="preserve"> process, please refer to your Evidence of Coverage</w:t>
      </w:r>
      <w:r w:rsidR="00D30443" w:rsidRPr="00D30443">
        <w:rPr>
          <w:rFonts w:ascii="Times New Roman" w:eastAsia="Times New Roman" w:hAnsi="Times New Roman" w:cs="Times New Roman"/>
          <w:kern w:val="0"/>
          <w14:ligatures w14:val="none"/>
        </w:rPr>
        <w:t xml:space="preserve"> </w:t>
      </w:r>
      <w:r w:rsidR="00D30443">
        <w:rPr>
          <w:rFonts w:ascii="Times New Roman" w:eastAsia="Times New Roman" w:hAnsi="Times New Roman" w:cs="Times New Roman"/>
          <w:kern w:val="0"/>
          <w14:ligatures w14:val="none"/>
        </w:rPr>
        <w:t>(</w:t>
      </w:r>
      <w:r w:rsidR="00D30443" w:rsidRPr="00D30443">
        <w:t>EOC</w:t>
      </w:r>
      <w:r w:rsidR="00D30443">
        <w:t>)</w:t>
      </w:r>
      <w:r w:rsidRPr="009D7752">
        <w:t>: "</w:t>
      </w:r>
      <w:r w:rsidR="002A39DC">
        <w:t>For preauthorization of outpatient prescription drugs and How to request a Medical Exception</w:t>
      </w:r>
      <w:r w:rsidRPr="009D7752">
        <w:t xml:space="preserve">." Or call Member Services </w:t>
      </w:r>
      <w:proofErr w:type="gramStart"/>
      <w:r w:rsidRPr="009D7752">
        <w:t>at</w:t>
      </w:r>
      <w:proofErr w:type="gramEnd"/>
      <w:r w:rsidRPr="009D7752">
        <w:t> </w:t>
      </w:r>
      <w:r w:rsidRPr="009D7752">
        <w:rPr>
          <w:b/>
          <w:bCs/>
        </w:rPr>
        <w:t>1-800-838-8271, TTY: 711</w:t>
      </w:r>
      <w:r w:rsidRPr="009D7752">
        <w:t>. </w:t>
      </w:r>
    </w:p>
    <w:sectPr w:rsidR="009D7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01A94"/>
    <w:multiLevelType w:val="hybridMultilevel"/>
    <w:tmpl w:val="32D0E166"/>
    <w:lvl w:ilvl="0" w:tplc="FFFFFFFF">
      <w:start w:val="1"/>
      <w:numFmt w:val="decimal"/>
      <w:lvlText w:val="%1."/>
      <w:lvlJc w:val="left"/>
      <w:pPr>
        <w:ind w:left="866" w:hanging="298"/>
      </w:pPr>
      <w:rPr>
        <w:rFonts w:ascii="Arial" w:eastAsia="Arial" w:hAnsi="Arial" w:cs="Arial" w:hint="default"/>
        <w:b w:val="0"/>
        <w:bCs w:val="0"/>
        <w:i w:val="0"/>
        <w:iCs w:val="0"/>
        <w:color w:val="231F20"/>
        <w:spacing w:val="0"/>
        <w:w w:val="100"/>
        <w:sz w:val="22"/>
        <w:szCs w:val="22"/>
        <w:lang w:val="en-US" w:eastAsia="en-US" w:bidi="ar-SA"/>
      </w:rPr>
    </w:lvl>
    <w:lvl w:ilvl="1" w:tplc="FFFFFFFF">
      <w:numFmt w:val="bullet"/>
      <w:lvlText w:val="•"/>
      <w:lvlJc w:val="left"/>
      <w:pPr>
        <w:ind w:left="1892" w:hanging="298"/>
      </w:pPr>
      <w:rPr>
        <w:rFonts w:hint="default"/>
        <w:lang w:val="en-US" w:eastAsia="en-US" w:bidi="ar-SA"/>
      </w:rPr>
    </w:lvl>
    <w:lvl w:ilvl="2" w:tplc="FFFFFFFF">
      <w:numFmt w:val="bullet"/>
      <w:lvlText w:val="•"/>
      <w:lvlJc w:val="left"/>
      <w:pPr>
        <w:ind w:left="2924" w:hanging="298"/>
      </w:pPr>
      <w:rPr>
        <w:rFonts w:hint="default"/>
        <w:lang w:val="en-US" w:eastAsia="en-US" w:bidi="ar-SA"/>
      </w:rPr>
    </w:lvl>
    <w:lvl w:ilvl="3" w:tplc="FFFFFFFF">
      <w:numFmt w:val="bullet"/>
      <w:lvlText w:val="•"/>
      <w:lvlJc w:val="left"/>
      <w:pPr>
        <w:ind w:left="3956" w:hanging="298"/>
      </w:pPr>
      <w:rPr>
        <w:rFonts w:hint="default"/>
        <w:lang w:val="en-US" w:eastAsia="en-US" w:bidi="ar-SA"/>
      </w:rPr>
    </w:lvl>
    <w:lvl w:ilvl="4" w:tplc="FFFFFFFF">
      <w:numFmt w:val="bullet"/>
      <w:lvlText w:val="•"/>
      <w:lvlJc w:val="left"/>
      <w:pPr>
        <w:ind w:left="4988" w:hanging="298"/>
      </w:pPr>
      <w:rPr>
        <w:rFonts w:hint="default"/>
        <w:lang w:val="en-US" w:eastAsia="en-US" w:bidi="ar-SA"/>
      </w:rPr>
    </w:lvl>
    <w:lvl w:ilvl="5" w:tplc="FFFFFFFF">
      <w:numFmt w:val="bullet"/>
      <w:lvlText w:val="•"/>
      <w:lvlJc w:val="left"/>
      <w:pPr>
        <w:ind w:left="6020" w:hanging="298"/>
      </w:pPr>
      <w:rPr>
        <w:rFonts w:hint="default"/>
        <w:lang w:val="en-US" w:eastAsia="en-US" w:bidi="ar-SA"/>
      </w:rPr>
    </w:lvl>
    <w:lvl w:ilvl="6" w:tplc="FFFFFFFF">
      <w:numFmt w:val="bullet"/>
      <w:lvlText w:val="•"/>
      <w:lvlJc w:val="left"/>
      <w:pPr>
        <w:ind w:left="7052" w:hanging="298"/>
      </w:pPr>
      <w:rPr>
        <w:rFonts w:hint="default"/>
        <w:lang w:val="en-US" w:eastAsia="en-US" w:bidi="ar-SA"/>
      </w:rPr>
    </w:lvl>
    <w:lvl w:ilvl="7" w:tplc="FFFFFFFF">
      <w:numFmt w:val="bullet"/>
      <w:lvlText w:val="•"/>
      <w:lvlJc w:val="left"/>
      <w:pPr>
        <w:ind w:left="8084" w:hanging="298"/>
      </w:pPr>
      <w:rPr>
        <w:rFonts w:hint="default"/>
        <w:lang w:val="en-US" w:eastAsia="en-US" w:bidi="ar-SA"/>
      </w:rPr>
    </w:lvl>
    <w:lvl w:ilvl="8" w:tplc="FFFFFFFF">
      <w:numFmt w:val="bullet"/>
      <w:lvlText w:val="•"/>
      <w:lvlJc w:val="left"/>
      <w:pPr>
        <w:ind w:left="9116" w:hanging="298"/>
      </w:pPr>
      <w:rPr>
        <w:rFonts w:hint="default"/>
        <w:lang w:val="en-US" w:eastAsia="en-US" w:bidi="ar-SA"/>
      </w:rPr>
    </w:lvl>
  </w:abstractNum>
  <w:abstractNum w:abstractNumId="1" w15:restartNumberingAfterBreak="0">
    <w:nsid w:val="1D075CAC"/>
    <w:multiLevelType w:val="multilevel"/>
    <w:tmpl w:val="00D41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10828"/>
    <w:multiLevelType w:val="multilevel"/>
    <w:tmpl w:val="3A485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55F94"/>
    <w:multiLevelType w:val="hybridMultilevel"/>
    <w:tmpl w:val="F3B8A0A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4E34634B"/>
    <w:multiLevelType w:val="hybridMultilevel"/>
    <w:tmpl w:val="F9A4A924"/>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5" w15:restartNumberingAfterBreak="0">
    <w:nsid w:val="4FCA2CD5"/>
    <w:multiLevelType w:val="hybridMultilevel"/>
    <w:tmpl w:val="C82E4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270E53"/>
    <w:multiLevelType w:val="multilevel"/>
    <w:tmpl w:val="5DAC1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D95784"/>
    <w:multiLevelType w:val="multilevel"/>
    <w:tmpl w:val="4BCE7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9E6041"/>
    <w:multiLevelType w:val="multilevel"/>
    <w:tmpl w:val="E752E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21873190">
    <w:abstractNumId w:val="8"/>
  </w:num>
  <w:num w:numId="2" w16cid:durableId="1723367034">
    <w:abstractNumId w:val="6"/>
  </w:num>
  <w:num w:numId="3" w16cid:durableId="2146462385">
    <w:abstractNumId w:val="2"/>
  </w:num>
  <w:num w:numId="4" w16cid:durableId="917251360">
    <w:abstractNumId w:val="7"/>
  </w:num>
  <w:num w:numId="5" w16cid:durableId="949505209">
    <w:abstractNumId w:val="1"/>
  </w:num>
  <w:num w:numId="6" w16cid:durableId="1946768054">
    <w:abstractNumId w:val="5"/>
  </w:num>
  <w:num w:numId="7" w16cid:durableId="1929344979">
    <w:abstractNumId w:val="3"/>
  </w:num>
  <w:num w:numId="8" w16cid:durableId="1275096069">
    <w:abstractNumId w:val="0"/>
  </w:num>
  <w:num w:numId="9" w16cid:durableId="94057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68"/>
    <w:rsid w:val="00023250"/>
    <w:rsid w:val="00053F7F"/>
    <w:rsid w:val="001E0BA5"/>
    <w:rsid w:val="002A39DC"/>
    <w:rsid w:val="002E6A68"/>
    <w:rsid w:val="00385259"/>
    <w:rsid w:val="004F5D4B"/>
    <w:rsid w:val="00505DB8"/>
    <w:rsid w:val="006B4186"/>
    <w:rsid w:val="00744344"/>
    <w:rsid w:val="008062CC"/>
    <w:rsid w:val="00880E2E"/>
    <w:rsid w:val="00941E9B"/>
    <w:rsid w:val="009D7752"/>
    <w:rsid w:val="00A70A8E"/>
    <w:rsid w:val="00A82394"/>
    <w:rsid w:val="00BA513E"/>
    <w:rsid w:val="00D30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75B2"/>
  <w15:chartTrackingRefBased/>
  <w15:docId w15:val="{A4D60D2E-CE2B-471D-B24A-95275CC7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A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6A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6A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6A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6A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6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A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A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6A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6A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6A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6A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6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A68"/>
    <w:rPr>
      <w:rFonts w:eastAsiaTheme="majorEastAsia" w:cstheme="majorBidi"/>
      <w:color w:val="272727" w:themeColor="text1" w:themeTint="D8"/>
    </w:rPr>
  </w:style>
  <w:style w:type="paragraph" w:styleId="Title">
    <w:name w:val="Title"/>
    <w:basedOn w:val="Normal"/>
    <w:next w:val="Normal"/>
    <w:link w:val="TitleChar"/>
    <w:uiPriority w:val="10"/>
    <w:qFormat/>
    <w:rsid w:val="002E6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A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A68"/>
    <w:pPr>
      <w:spacing w:before="160"/>
      <w:jc w:val="center"/>
    </w:pPr>
    <w:rPr>
      <w:i/>
      <w:iCs/>
      <w:color w:val="404040" w:themeColor="text1" w:themeTint="BF"/>
    </w:rPr>
  </w:style>
  <w:style w:type="character" w:customStyle="1" w:styleId="QuoteChar">
    <w:name w:val="Quote Char"/>
    <w:basedOn w:val="DefaultParagraphFont"/>
    <w:link w:val="Quote"/>
    <w:uiPriority w:val="29"/>
    <w:rsid w:val="002E6A68"/>
    <w:rPr>
      <w:i/>
      <w:iCs/>
      <w:color w:val="404040" w:themeColor="text1" w:themeTint="BF"/>
    </w:rPr>
  </w:style>
  <w:style w:type="paragraph" w:styleId="ListParagraph">
    <w:name w:val="List Paragraph"/>
    <w:basedOn w:val="Normal"/>
    <w:uiPriority w:val="1"/>
    <w:qFormat/>
    <w:rsid w:val="002E6A68"/>
    <w:pPr>
      <w:ind w:left="720"/>
      <w:contextualSpacing/>
    </w:pPr>
  </w:style>
  <w:style w:type="character" w:styleId="IntenseEmphasis">
    <w:name w:val="Intense Emphasis"/>
    <w:basedOn w:val="DefaultParagraphFont"/>
    <w:uiPriority w:val="21"/>
    <w:qFormat/>
    <w:rsid w:val="002E6A68"/>
    <w:rPr>
      <w:i/>
      <w:iCs/>
      <w:color w:val="2F5496" w:themeColor="accent1" w:themeShade="BF"/>
    </w:rPr>
  </w:style>
  <w:style w:type="paragraph" w:styleId="IntenseQuote">
    <w:name w:val="Intense Quote"/>
    <w:basedOn w:val="Normal"/>
    <w:next w:val="Normal"/>
    <w:link w:val="IntenseQuoteChar"/>
    <w:uiPriority w:val="30"/>
    <w:qFormat/>
    <w:rsid w:val="002E6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6A68"/>
    <w:rPr>
      <w:i/>
      <w:iCs/>
      <w:color w:val="2F5496" w:themeColor="accent1" w:themeShade="BF"/>
    </w:rPr>
  </w:style>
  <w:style w:type="character" w:styleId="IntenseReference">
    <w:name w:val="Intense Reference"/>
    <w:basedOn w:val="DefaultParagraphFont"/>
    <w:uiPriority w:val="32"/>
    <w:qFormat/>
    <w:rsid w:val="002E6A68"/>
    <w:rPr>
      <w:b/>
      <w:bCs/>
      <w:smallCaps/>
      <w:color w:val="2F5496" w:themeColor="accent1" w:themeShade="BF"/>
      <w:spacing w:val="5"/>
    </w:rPr>
  </w:style>
  <w:style w:type="character" w:styleId="Hyperlink">
    <w:name w:val="Hyperlink"/>
    <w:basedOn w:val="DefaultParagraphFont"/>
    <w:uiPriority w:val="99"/>
    <w:unhideWhenUsed/>
    <w:rsid w:val="009D7752"/>
    <w:rPr>
      <w:color w:val="0563C1" w:themeColor="hyperlink"/>
      <w:u w:val="single"/>
    </w:rPr>
  </w:style>
  <w:style w:type="character" w:styleId="UnresolvedMention">
    <w:name w:val="Unresolved Mention"/>
    <w:basedOn w:val="DefaultParagraphFont"/>
    <w:uiPriority w:val="99"/>
    <w:semiHidden/>
    <w:unhideWhenUsed/>
    <w:rsid w:val="009D7752"/>
    <w:rPr>
      <w:color w:val="605E5C"/>
      <w:shd w:val="clear" w:color="auto" w:fill="E1DFDD"/>
    </w:rPr>
  </w:style>
  <w:style w:type="character" w:styleId="FollowedHyperlink">
    <w:name w:val="FollowedHyperlink"/>
    <w:basedOn w:val="DefaultParagraphFont"/>
    <w:uiPriority w:val="99"/>
    <w:semiHidden/>
    <w:unhideWhenUsed/>
    <w:rsid w:val="00053F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412978">
      <w:bodyDiv w:val="1"/>
      <w:marLeft w:val="0"/>
      <w:marRight w:val="0"/>
      <w:marTop w:val="0"/>
      <w:marBottom w:val="0"/>
      <w:divBdr>
        <w:top w:val="none" w:sz="0" w:space="0" w:color="auto"/>
        <w:left w:val="none" w:sz="0" w:space="0" w:color="auto"/>
        <w:bottom w:val="none" w:sz="0" w:space="0" w:color="auto"/>
        <w:right w:val="none" w:sz="0" w:space="0" w:color="auto"/>
      </w:divBdr>
    </w:div>
    <w:div w:id="1408722049">
      <w:bodyDiv w:val="1"/>
      <w:marLeft w:val="0"/>
      <w:marRight w:val="0"/>
      <w:marTop w:val="0"/>
      <w:marBottom w:val="0"/>
      <w:divBdr>
        <w:top w:val="none" w:sz="0" w:space="0" w:color="auto"/>
        <w:left w:val="none" w:sz="0" w:space="0" w:color="auto"/>
        <w:bottom w:val="none" w:sz="0" w:space="0" w:color="auto"/>
        <w:right w:val="none" w:sz="0" w:space="0" w:color="auto"/>
      </w:divBdr>
    </w:div>
    <w:div w:id="1845633660">
      <w:bodyDiv w:val="1"/>
      <w:marLeft w:val="0"/>
      <w:marRight w:val="0"/>
      <w:marTop w:val="0"/>
      <w:marBottom w:val="0"/>
      <w:divBdr>
        <w:top w:val="none" w:sz="0" w:space="0" w:color="auto"/>
        <w:left w:val="none" w:sz="0" w:space="0" w:color="auto"/>
        <w:bottom w:val="none" w:sz="0" w:space="0" w:color="auto"/>
        <w:right w:val="none" w:sz="0" w:space="0" w:color="auto"/>
      </w:divBdr>
    </w:div>
    <w:div w:id="214303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changecomplaints@imperialhealthplan.com" TargetMode="External"/><Relationship Id="rId5" Type="http://schemas.openxmlformats.org/officeDocument/2006/relationships/hyperlink" Target="https://www.medimpact.com/sites/default/files/2023-10/MedImpact-Standard-MRF-2023-rev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Cho</dc:creator>
  <cp:keywords/>
  <dc:description/>
  <cp:lastModifiedBy>Tambra Coons</cp:lastModifiedBy>
  <cp:revision>2</cp:revision>
  <dcterms:created xsi:type="dcterms:W3CDTF">2024-07-31T22:29:00Z</dcterms:created>
  <dcterms:modified xsi:type="dcterms:W3CDTF">2024-07-31T22:29:00Z</dcterms:modified>
</cp:coreProperties>
</file>